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A566" w14:textId="05925F24" w:rsidR="00BD2979" w:rsidRDefault="00857A07" w:rsidP="00BD2979">
      <w:pPr>
        <w:rPr>
          <w:sz w:val="24"/>
        </w:rPr>
      </w:pPr>
      <w:r w:rsidRPr="00BD2979">
        <w:rPr>
          <w:noProof/>
          <w:sz w:val="24"/>
        </w:rPr>
        <mc:AlternateContent>
          <mc:Choice Requires="wps">
            <w:drawing>
              <wp:anchor distT="45720" distB="45720" distL="114300" distR="114300" simplePos="0" relativeHeight="251671552" behindDoc="0" locked="0" layoutInCell="1" allowOverlap="1" wp14:anchorId="6C4E15D3" wp14:editId="21C05BDB">
                <wp:simplePos x="0" y="0"/>
                <wp:positionH relativeFrom="column">
                  <wp:posOffset>-41911</wp:posOffset>
                </wp:positionH>
                <wp:positionV relativeFrom="paragraph">
                  <wp:posOffset>80645</wp:posOffset>
                </wp:positionV>
                <wp:extent cx="2676525" cy="1404620"/>
                <wp:effectExtent l="0" t="0" r="28575" b="215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rgbClr val="000000"/>
                          </a:solidFill>
                          <a:miter lim="800000"/>
                          <a:headEnd/>
                          <a:tailEnd/>
                        </a:ln>
                      </wps:spPr>
                      <wps:txbx>
                        <w:txbxContent>
                          <w:p w14:paraId="4C909161" w14:textId="37819AC8" w:rsidR="00BD2979" w:rsidRPr="00857A07" w:rsidRDefault="00BD2979">
                            <w:pPr>
                              <w:rPr>
                                <w:sz w:val="22"/>
                                <w:szCs w:val="28"/>
                              </w:rPr>
                            </w:pPr>
                            <w:r w:rsidRPr="00857A07">
                              <w:rPr>
                                <w:rFonts w:hint="eastAsia"/>
                                <w:sz w:val="22"/>
                                <w:szCs w:val="28"/>
                              </w:rPr>
                              <w:t>携帯型電子機器の使用に係る安全対策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E15D3" id="_x0000_t202" coordsize="21600,21600" o:spt="202" path="m,l,21600r21600,l21600,xe">
                <v:stroke joinstyle="miter"/>
                <v:path gradientshapeok="t" o:connecttype="rect"/>
              </v:shapetype>
              <v:shape id="テキスト ボックス 2" o:spid="_x0000_s1026" type="#_x0000_t202" style="position:absolute;left:0;text-align:left;margin-left:-3.3pt;margin-top:6.35pt;width:210.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">
                <v:textbox style="mso-fit-shape-to-text:t">
                  <w:txbxContent>
                    <w:p w14:paraId="4C909161" w14:textId="37819AC8" w:rsidR="00BD2979" w:rsidRPr="00857A07" w:rsidRDefault="00BD2979">
                      <w:pPr>
                        <w:rPr>
                          <w:sz w:val="22"/>
                          <w:szCs w:val="28"/>
                        </w:rPr>
                      </w:pPr>
                      <w:r w:rsidRPr="00857A07">
                        <w:rPr>
                          <w:rFonts w:hint="eastAsia"/>
                          <w:sz w:val="22"/>
                          <w:szCs w:val="28"/>
                        </w:rPr>
                        <w:t>携帯型電子機器の使用に係る安全対策</w:t>
                      </w:r>
                    </w:p>
                  </w:txbxContent>
                </v:textbox>
              </v:shape>
            </w:pict>
          </mc:Fallback>
        </mc:AlternateContent>
      </w:r>
    </w:p>
    <w:p w14:paraId="4A36D54E" w14:textId="407FA8BF" w:rsidR="00BD2979" w:rsidRDefault="00BD2979" w:rsidP="00BD2979">
      <w:pPr>
        <w:rPr>
          <w:sz w:val="24"/>
        </w:rPr>
      </w:pPr>
    </w:p>
    <w:p w14:paraId="7622D0AD" w14:textId="63E93B3C" w:rsidR="00BD2979" w:rsidRPr="00BD2979" w:rsidRDefault="00BD2979" w:rsidP="00BD2979">
      <w:pPr>
        <w:rPr>
          <w:bCs/>
          <w:sz w:val="24"/>
        </w:rPr>
      </w:pPr>
      <w:r w:rsidRPr="00BD2979">
        <w:rPr>
          <w:rFonts w:hint="eastAsia"/>
          <w:bCs/>
          <w:sz w:val="24"/>
        </w:rPr>
        <w:t>第○章　　携帯型電子機器の使用に係る安全対策</w:t>
      </w:r>
    </w:p>
    <w:p w14:paraId="30AC7B07" w14:textId="77777777" w:rsidR="00BD2979" w:rsidRPr="00BD2979" w:rsidRDefault="00BD2979" w:rsidP="00BD2979">
      <w:pPr>
        <w:rPr>
          <w:bCs/>
          <w:sz w:val="24"/>
        </w:rPr>
      </w:pPr>
      <w:r w:rsidRPr="00BD2979">
        <w:rPr>
          <w:rFonts w:hint="eastAsia"/>
          <w:bCs/>
          <w:sz w:val="24"/>
        </w:rPr>
        <w:t>（運用に係る遵守事項）</w:t>
      </w:r>
    </w:p>
    <w:p w14:paraId="63F890E2" w14:textId="77777777" w:rsidR="00BD2979" w:rsidRPr="00BD2979" w:rsidRDefault="00BD2979" w:rsidP="00BD2979">
      <w:pPr>
        <w:ind w:left="238" w:hangingChars="99" w:hanging="238"/>
        <w:rPr>
          <w:sz w:val="24"/>
        </w:rPr>
      </w:pPr>
      <w:r w:rsidRPr="00BD2979">
        <w:rPr>
          <w:rFonts w:hint="eastAsia"/>
          <w:sz w:val="24"/>
        </w:rPr>
        <w:t>第○○条　携帯型の電子機器（以下、「携帯型電子機器」という。）の仕様については、次の規格等に適合するものとする。</w:t>
      </w:r>
    </w:p>
    <w:p w14:paraId="51DB2A08"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(1) </w:t>
      </w:r>
      <w:r w:rsidRPr="00BD2979">
        <w:rPr>
          <w:rFonts w:ascii="ＭＳ 明朝" w:hAnsi="ＭＳ 明朝" w:hint="eastAsia"/>
          <w:sz w:val="24"/>
        </w:rPr>
        <w:t>防爆構造</w:t>
      </w:r>
    </w:p>
    <w:p w14:paraId="5FE85F61"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(2) </w:t>
      </w:r>
      <w:r w:rsidRPr="00BD2979">
        <w:rPr>
          <w:rFonts w:ascii="ＭＳ 明朝" w:hAnsi="ＭＳ 明朝" w:hint="eastAsia"/>
          <w:sz w:val="24"/>
        </w:rPr>
        <w:t>国際電気標準会規格(</w:t>
      </w:r>
      <w:r w:rsidRPr="00BD2979">
        <w:rPr>
          <w:rFonts w:ascii="ＭＳ 明朝" w:hAnsi="ＭＳ 明朝"/>
          <w:sz w:val="24"/>
        </w:rPr>
        <w:t>IEC)60950-1</w:t>
      </w:r>
    </w:p>
    <w:p w14:paraId="709FEA58"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(3) </w:t>
      </w:r>
      <w:r w:rsidRPr="00BD2979">
        <w:rPr>
          <w:rFonts w:ascii="ＭＳ 明朝" w:hAnsi="ＭＳ 明朝" w:hint="eastAsia"/>
          <w:sz w:val="24"/>
        </w:rPr>
        <w:t>日本産業規格(</w:t>
      </w:r>
      <w:r w:rsidRPr="00BD2979">
        <w:rPr>
          <w:rFonts w:ascii="ＭＳ 明朝" w:hAnsi="ＭＳ 明朝"/>
          <w:sz w:val="24"/>
        </w:rPr>
        <w:t>JIS)C6950-1</w:t>
      </w:r>
    </w:p>
    <w:p w14:paraId="41EE3791"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(4) </w:t>
      </w:r>
      <w:r w:rsidRPr="00BD2979">
        <w:rPr>
          <w:rFonts w:ascii="ＭＳ 明朝" w:hAnsi="ＭＳ 明朝" w:hint="eastAsia"/>
          <w:sz w:val="24"/>
        </w:rPr>
        <w:t>国際電気標準会規格(</w:t>
      </w:r>
      <w:r w:rsidRPr="00BD2979">
        <w:rPr>
          <w:rFonts w:ascii="ＭＳ 明朝" w:hAnsi="ＭＳ 明朝"/>
          <w:sz w:val="24"/>
        </w:rPr>
        <w:t>IEC)62368-1</w:t>
      </w:r>
    </w:p>
    <w:p w14:paraId="6AD68A6B"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(5) </w:t>
      </w:r>
      <w:r w:rsidRPr="00BD2979">
        <w:rPr>
          <w:rFonts w:ascii="ＭＳ 明朝" w:hAnsi="ＭＳ 明朝" w:hint="eastAsia"/>
          <w:sz w:val="24"/>
        </w:rPr>
        <w:t>日本産業規格(</w:t>
      </w:r>
      <w:r w:rsidRPr="00BD2979">
        <w:rPr>
          <w:rFonts w:ascii="ＭＳ 明朝" w:hAnsi="ＭＳ 明朝"/>
          <w:sz w:val="24"/>
        </w:rPr>
        <w:t>JIS)C62368-1</w:t>
      </w:r>
    </w:p>
    <w:p w14:paraId="4389156B" w14:textId="77777777" w:rsidR="00BD2979" w:rsidRPr="00BD2979" w:rsidRDefault="00BD2979" w:rsidP="00BD2979">
      <w:pPr>
        <w:ind w:left="264" w:hangingChars="110" w:hanging="264"/>
        <w:rPr>
          <w:sz w:val="24"/>
        </w:rPr>
      </w:pPr>
      <w:r w:rsidRPr="00BD2979">
        <w:rPr>
          <w:rFonts w:hint="eastAsia"/>
          <w:sz w:val="24"/>
        </w:rPr>
        <w:t>２　携帯型電子機器は、</w:t>
      </w:r>
      <w:r w:rsidRPr="00BD2979">
        <w:rPr>
          <w:rFonts w:hint="eastAsia"/>
          <w:sz w:val="24"/>
          <w:u w:val="single"/>
        </w:rPr>
        <w:t>（使用用途）</w:t>
      </w:r>
      <w:r w:rsidRPr="00BD2979">
        <w:rPr>
          <w:rFonts w:hint="eastAsia"/>
          <w:sz w:val="24"/>
        </w:rPr>
        <w:t>の用途に使用するものとし、使用場所については</w:t>
      </w:r>
      <w:r w:rsidRPr="00BD2979">
        <w:rPr>
          <w:rFonts w:hint="eastAsia"/>
          <w:sz w:val="24"/>
          <w:u w:val="single"/>
        </w:rPr>
        <w:t xml:space="preserve">　　　　　　　　（使用場所）</w:t>
      </w:r>
      <w:r w:rsidRPr="00BD2979">
        <w:rPr>
          <w:rFonts w:hint="eastAsia"/>
          <w:sz w:val="24"/>
        </w:rPr>
        <w:t>とする。</w:t>
      </w:r>
    </w:p>
    <w:p w14:paraId="7D078F19" w14:textId="77777777" w:rsidR="00BD2979" w:rsidRPr="00BD2979" w:rsidRDefault="00BD2979" w:rsidP="00BD2979">
      <w:pPr>
        <w:ind w:left="238" w:hangingChars="99" w:hanging="238"/>
        <w:rPr>
          <w:sz w:val="24"/>
        </w:rPr>
      </w:pPr>
      <w:r w:rsidRPr="00BD2979">
        <w:rPr>
          <w:rFonts w:hint="eastAsia"/>
          <w:sz w:val="24"/>
        </w:rPr>
        <w:t>３　携帯型電子機器の使用については</w:t>
      </w:r>
      <w:r w:rsidRPr="00BD2979">
        <w:rPr>
          <w:rFonts w:hint="eastAsia"/>
          <w:sz w:val="24"/>
          <w:u w:val="single"/>
        </w:rPr>
        <w:t>（営業時間）</w:t>
      </w:r>
      <w:r w:rsidRPr="00BD2979">
        <w:rPr>
          <w:rFonts w:hint="eastAsia"/>
          <w:sz w:val="24"/>
        </w:rPr>
        <w:t>の間とし、営業終了後は</w:t>
      </w:r>
      <w:r w:rsidRPr="00BD2979">
        <w:rPr>
          <w:rFonts w:hint="eastAsia"/>
          <w:sz w:val="24"/>
          <w:u w:val="single"/>
        </w:rPr>
        <w:t>（保管場所）</w:t>
      </w:r>
      <w:r w:rsidRPr="00BD2979">
        <w:rPr>
          <w:rFonts w:hint="eastAsia"/>
          <w:sz w:val="24"/>
        </w:rPr>
        <w:t>に保管するものとする。</w:t>
      </w:r>
    </w:p>
    <w:p w14:paraId="26099B22" w14:textId="77777777" w:rsidR="00BD2979" w:rsidRPr="00BD2979" w:rsidRDefault="00BD2979" w:rsidP="00BD2979">
      <w:pPr>
        <w:ind w:left="252" w:hangingChars="105" w:hanging="252"/>
        <w:rPr>
          <w:sz w:val="24"/>
        </w:rPr>
      </w:pPr>
      <w:r w:rsidRPr="00BD2979">
        <w:rPr>
          <w:rFonts w:hint="eastAsia"/>
          <w:sz w:val="24"/>
        </w:rPr>
        <w:t>４　携帯型電子機器を使用する場合は、落下防止のため</w:t>
      </w:r>
      <w:r w:rsidRPr="00BD2979">
        <w:rPr>
          <w:rFonts w:hint="eastAsia"/>
          <w:sz w:val="24"/>
          <w:u w:val="single"/>
        </w:rPr>
        <w:t>（具体的な方法）</w:t>
      </w:r>
      <w:r w:rsidRPr="00BD2979">
        <w:rPr>
          <w:rFonts w:hint="eastAsia"/>
          <w:sz w:val="24"/>
        </w:rPr>
        <w:t>するものとする。</w:t>
      </w:r>
    </w:p>
    <w:p w14:paraId="5991344D" w14:textId="77777777" w:rsidR="00BD2979" w:rsidRPr="00BD2979" w:rsidRDefault="00BD2979" w:rsidP="00BD2979">
      <w:pPr>
        <w:ind w:left="252" w:hangingChars="105" w:hanging="252"/>
        <w:rPr>
          <w:sz w:val="24"/>
        </w:rPr>
      </w:pPr>
      <w:r w:rsidRPr="00BD2979">
        <w:rPr>
          <w:rFonts w:hint="eastAsia"/>
          <w:sz w:val="24"/>
        </w:rPr>
        <w:t>５　携帯型電子機器の操作については、給油作業中のものが同時に行わないものとする。</w:t>
      </w:r>
    </w:p>
    <w:p w14:paraId="32905CB8" w14:textId="77777777" w:rsidR="00BD2979" w:rsidRPr="00BD2979" w:rsidRDefault="00BD2979" w:rsidP="00BD2979">
      <w:pPr>
        <w:ind w:left="252" w:hangingChars="105" w:hanging="252"/>
        <w:rPr>
          <w:sz w:val="24"/>
        </w:rPr>
      </w:pPr>
      <w:r w:rsidRPr="00BD2979">
        <w:rPr>
          <w:rFonts w:hint="eastAsia"/>
          <w:sz w:val="24"/>
        </w:rPr>
        <w:t>６　携帯型電子機器の使用中に火災や危険物の流出事故が発生した場合は、第◯条（災害発生時に係る条文を記載）によるほか、直ちに当該携帯型電子機器の使用を中止し、安全が確認されるまでの間は使用しないものとする。</w:t>
      </w:r>
    </w:p>
    <w:p w14:paraId="6741C426" w14:textId="77777777" w:rsidR="00BD2979" w:rsidRPr="00BD2979" w:rsidRDefault="00BD2979" w:rsidP="00BD2979">
      <w:pPr>
        <w:rPr>
          <w:sz w:val="24"/>
        </w:rPr>
      </w:pPr>
    </w:p>
    <w:p w14:paraId="784D9BDC" w14:textId="5899E07C" w:rsidR="00BD2979" w:rsidRDefault="00BD2979" w:rsidP="000B221A">
      <w:pPr>
        <w:rPr>
          <w:sz w:val="24"/>
        </w:rPr>
      </w:pPr>
    </w:p>
    <w:p w14:paraId="2245EA16" w14:textId="6F321D30" w:rsidR="00BD2979" w:rsidRDefault="00BD2979" w:rsidP="000B221A">
      <w:pPr>
        <w:rPr>
          <w:sz w:val="24"/>
        </w:rPr>
      </w:pPr>
    </w:p>
    <w:p w14:paraId="7096BA6A" w14:textId="617A57A3" w:rsidR="00BD2979" w:rsidRDefault="00BD2979" w:rsidP="000B221A">
      <w:pPr>
        <w:rPr>
          <w:sz w:val="24"/>
        </w:rPr>
      </w:pPr>
    </w:p>
    <w:p w14:paraId="2D80EE0B" w14:textId="4638F011" w:rsidR="00BD2979" w:rsidRDefault="00BD2979" w:rsidP="000B221A">
      <w:pPr>
        <w:rPr>
          <w:sz w:val="24"/>
        </w:rPr>
      </w:pPr>
    </w:p>
    <w:p w14:paraId="115E8E60" w14:textId="7388B650" w:rsidR="00BD2979" w:rsidRDefault="00BD2979" w:rsidP="000B221A">
      <w:pPr>
        <w:rPr>
          <w:sz w:val="24"/>
        </w:rPr>
      </w:pPr>
    </w:p>
    <w:p w14:paraId="5EC7192A" w14:textId="171D5513" w:rsidR="00BD2979" w:rsidRDefault="00BD2979" w:rsidP="000B221A">
      <w:pPr>
        <w:rPr>
          <w:sz w:val="24"/>
        </w:rPr>
      </w:pPr>
    </w:p>
    <w:p w14:paraId="5B557432" w14:textId="78578823" w:rsidR="00BD2979" w:rsidRDefault="00BD2979" w:rsidP="000B221A">
      <w:pPr>
        <w:rPr>
          <w:sz w:val="24"/>
        </w:rPr>
      </w:pPr>
    </w:p>
    <w:p w14:paraId="510EAF15" w14:textId="3B5FA8F2" w:rsidR="00BD2979" w:rsidRDefault="00BD2979" w:rsidP="000B221A">
      <w:pPr>
        <w:rPr>
          <w:sz w:val="24"/>
        </w:rPr>
      </w:pPr>
    </w:p>
    <w:p w14:paraId="5FE13077" w14:textId="5D0D3C4A" w:rsidR="00BD2979" w:rsidRDefault="00BD2979" w:rsidP="000B221A">
      <w:pPr>
        <w:rPr>
          <w:sz w:val="24"/>
        </w:rPr>
      </w:pPr>
    </w:p>
    <w:p w14:paraId="5FCED4C6" w14:textId="1CC58D5E" w:rsidR="00BD2979" w:rsidRDefault="00BD2979" w:rsidP="000B221A">
      <w:pPr>
        <w:rPr>
          <w:sz w:val="24"/>
        </w:rPr>
      </w:pPr>
    </w:p>
    <w:p w14:paraId="61CD1607" w14:textId="13D3044E" w:rsidR="00BD2979" w:rsidRDefault="00BD2979" w:rsidP="000B221A">
      <w:pPr>
        <w:rPr>
          <w:sz w:val="24"/>
        </w:rPr>
      </w:pPr>
    </w:p>
    <w:p w14:paraId="2158DE2F" w14:textId="69506D3D" w:rsidR="00BD2979" w:rsidRDefault="00BD2979" w:rsidP="000B221A">
      <w:pPr>
        <w:rPr>
          <w:sz w:val="24"/>
        </w:rPr>
      </w:pPr>
    </w:p>
    <w:p w14:paraId="4D7BB7E4" w14:textId="1E4A93E6" w:rsidR="00BD2979" w:rsidRDefault="00BD2979" w:rsidP="000B221A">
      <w:pPr>
        <w:rPr>
          <w:sz w:val="24"/>
        </w:rPr>
      </w:pPr>
    </w:p>
    <w:p w14:paraId="2E18B1E0" w14:textId="046CB79E" w:rsidR="00BD2979" w:rsidRDefault="00BD2979" w:rsidP="000B221A">
      <w:pPr>
        <w:rPr>
          <w:sz w:val="24"/>
        </w:rPr>
      </w:pPr>
    </w:p>
    <w:p w14:paraId="59CCE8B0" w14:textId="25077BEF" w:rsidR="00BD2979" w:rsidRDefault="00BD2979" w:rsidP="000B221A">
      <w:pPr>
        <w:rPr>
          <w:sz w:val="24"/>
        </w:rPr>
      </w:pPr>
    </w:p>
    <w:p w14:paraId="2B2A4B0E" w14:textId="108E19A7" w:rsidR="00BD2979" w:rsidRDefault="00BD2979" w:rsidP="000B221A">
      <w:pPr>
        <w:rPr>
          <w:sz w:val="24"/>
        </w:rPr>
      </w:pPr>
    </w:p>
    <w:p w14:paraId="55B6DB88" w14:textId="6310D8A1" w:rsidR="00BD2979" w:rsidRDefault="00BD2979" w:rsidP="000B221A">
      <w:pPr>
        <w:rPr>
          <w:rFonts w:hint="eastAsia"/>
          <w:sz w:val="24"/>
        </w:rPr>
      </w:pPr>
    </w:p>
    <w:sectPr w:rsidR="00BD2979" w:rsidSect="00835043">
      <w:footerReference w:type="default" r:id="rId8"/>
      <w:pgSz w:w="11906" w:h="16838" w:code="9"/>
      <w:pgMar w:top="1418" w:right="1701" w:bottom="1134" w:left="1701" w:header="851" w:footer="992" w:gutter="0"/>
      <w:pgNumType w:fmt="numberInDash" w:start="28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93F" w14:textId="77777777" w:rsidR="00835043" w:rsidRDefault="00835043" w:rsidP="00835043">
      <w:r>
        <w:separator/>
      </w:r>
    </w:p>
  </w:endnote>
  <w:endnote w:type="continuationSeparator" w:id="0">
    <w:p w14:paraId="36D71E1B" w14:textId="77777777" w:rsidR="00835043" w:rsidRDefault="00835043"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3E34" w14:textId="765F6026" w:rsidR="00835043" w:rsidRDefault="00835043">
    <w:pPr>
      <w:pStyle w:val="aa"/>
      <w:jc w:val="center"/>
    </w:pPr>
  </w:p>
  <w:p w14:paraId="14D1C535" w14:textId="77777777" w:rsidR="00835043" w:rsidRDefault="008350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A1B" w14:textId="77777777" w:rsidR="00835043" w:rsidRDefault="00835043" w:rsidP="00835043">
      <w:r>
        <w:separator/>
      </w:r>
    </w:p>
  </w:footnote>
  <w:footnote w:type="continuationSeparator" w:id="0">
    <w:p w14:paraId="4FEF5A10" w14:textId="77777777" w:rsidR="00835043" w:rsidRDefault="00835043"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A"/>
    <w:multiLevelType w:val="hybridMultilevel"/>
    <w:tmpl w:val="24346552"/>
    <w:lvl w:ilvl="0" w:tplc="67F2202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226766"/>
    <w:multiLevelType w:val="hybridMultilevel"/>
    <w:tmpl w:val="816EB97A"/>
    <w:lvl w:ilvl="0" w:tplc="F7E25A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37A91"/>
    <w:multiLevelType w:val="hybridMultilevel"/>
    <w:tmpl w:val="B25E3DA8"/>
    <w:lvl w:ilvl="0" w:tplc="F0FCB56E">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7126E"/>
    <w:multiLevelType w:val="hybridMultilevel"/>
    <w:tmpl w:val="6344C19E"/>
    <w:lvl w:ilvl="0" w:tplc="CE44A02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159152C"/>
    <w:multiLevelType w:val="hybridMultilevel"/>
    <w:tmpl w:val="4FC6E4C8"/>
    <w:lvl w:ilvl="0" w:tplc="6218A884">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A94F9B"/>
    <w:multiLevelType w:val="hybridMultilevel"/>
    <w:tmpl w:val="2B2695B6"/>
    <w:lvl w:ilvl="0" w:tplc="4A5AF5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834A2"/>
    <w:multiLevelType w:val="hybridMultilevel"/>
    <w:tmpl w:val="7EDAD9EE"/>
    <w:lvl w:ilvl="0" w:tplc="80E8E6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A97578"/>
    <w:multiLevelType w:val="hybridMultilevel"/>
    <w:tmpl w:val="2B969FF8"/>
    <w:lvl w:ilvl="0" w:tplc="3E105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64EF4"/>
    <w:multiLevelType w:val="hybridMultilevel"/>
    <w:tmpl w:val="A0A42E86"/>
    <w:lvl w:ilvl="0" w:tplc="C0B220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DE279F"/>
    <w:multiLevelType w:val="hybridMultilevel"/>
    <w:tmpl w:val="82F0B312"/>
    <w:lvl w:ilvl="0" w:tplc="22102554">
      <w:start w:val="1"/>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753A15"/>
    <w:multiLevelType w:val="hybridMultilevel"/>
    <w:tmpl w:val="6346D552"/>
    <w:lvl w:ilvl="0" w:tplc="3FCE286E">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5C34EDC"/>
    <w:multiLevelType w:val="hybridMultilevel"/>
    <w:tmpl w:val="A26EC154"/>
    <w:lvl w:ilvl="0" w:tplc="E5F2363A">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11B1C"/>
    <w:multiLevelType w:val="hybridMultilevel"/>
    <w:tmpl w:val="BA7EF19A"/>
    <w:lvl w:ilvl="0" w:tplc="46B64C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B1F08E1"/>
    <w:multiLevelType w:val="hybridMultilevel"/>
    <w:tmpl w:val="564CF958"/>
    <w:lvl w:ilvl="0" w:tplc="4C8E6A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336FEF"/>
    <w:multiLevelType w:val="hybridMultilevel"/>
    <w:tmpl w:val="E716FA34"/>
    <w:lvl w:ilvl="0" w:tplc="1B6669B0">
      <w:start w:val="1"/>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92462BF"/>
    <w:multiLevelType w:val="hybridMultilevel"/>
    <w:tmpl w:val="FD76317C"/>
    <w:lvl w:ilvl="0" w:tplc="3F96C1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B536D1B"/>
    <w:multiLevelType w:val="hybridMultilevel"/>
    <w:tmpl w:val="39504446"/>
    <w:lvl w:ilvl="0" w:tplc="EA901788">
      <w:start w:val="5"/>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749471817">
    <w:abstractNumId w:val="14"/>
  </w:num>
  <w:num w:numId="2" w16cid:durableId="2051416046">
    <w:abstractNumId w:val="2"/>
  </w:num>
  <w:num w:numId="3" w16cid:durableId="722094255">
    <w:abstractNumId w:val="13"/>
  </w:num>
  <w:num w:numId="4" w16cid:durableId="500242780">
    <w:abstractNumId w:val="6"/>
  </w:num>
  <w:num w:numId="5" w16cid:durableId="526724963">
    <w:abstractNumId w:val="3"/>
  </w:num>
  <w:num w:numId="6" w16cid:durableId="744184137">
    <w:abstractNumId w:val="7"/>
  </w:num>
  <w:num w:numId="7" w16cid:durableId="184828726">
    <w:abstractNumId w:val="16"/>
  </w:num>
  <w:num w:numId="8" w16cid:durableId="960841843">
    <w:abstractNumId w:val="1"/>
  </w:num>
  <w:num w:numId="9" w16cid:durableId="549416779">
    <w:abstractNumId w:val="10"/>
  </w:num>
  <w:num w:numId="10" w16cid:durableId="1599753439">
    <w:abstractNumId w:val="4"/>
  </w:num>
  <w:num w:numId="11" w16cid:durableId="1211377620">
    <w:abstractNumId w:val="9"/>
  </w:num>
  <w:num w:numId="12" w16cid:durableId="961035083">
    <w:abstractNumId w:val="15"/>
  </w:num>
  <w:num w:numId="13" w16cid:durableId="1838836936">
    <w:abstractNumId w:val="12"/>
  </w:num>
  <w:num w:numId="14" w16cid:durableId="298388279">
    <w:abstractNumId w:val="0"/>
  </w:num>
  <w:num w:numId="15" w16cid:durableId="1830974428">
    <w:abstractNumId w:val="8"/>
  </w:num>
  <w:num w:numId="16" w16cid:durableId="414783047">
    <w:abstractNumId w:val="5"/>
  </w:num>
  <w:num w:numId="17" w16cid:durableId="167942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5"/>
    <w:rsid w:val="0002267E"/>
    <w:rsid w:val="000A5C06"/>
    <w:rsid w:val="000B221A"/>
    <w:rsid w:val="00106451"/>
    <w:rsid w:val="001075FF"/>
    <w:rsid w:val="0011381B"/>
    <w:rsid w:val="001425AF"/>
    <w:rsid w:val="00160C80"/>
    <w:rsid w:val="00162CE0"/>
    <w:rsid w:val="00177BE3"/>
    <w:rsid w:val="001845B5"/>
    <w:rsid w:val="001921BC"/>
    <w:rsid w:val="001D34F9"/>
    <w:rsid w:val="001E5697"/>
    <w:rsid w:val="002148C5"/>
    <w:rsid w:val="00215A39"/>
    <w:rsid w:val="00224B9F"/>
    <w:rsid w:val="00236D60"/>
    <w:rsid w:val="00265697"/>
    <w:rsid w:val="002917BD"/>
    <w:rsid w:val="002C00F3"/>
    <w:rsid w:val="003662E3"/>
    <w:rsid w:val="00380B46"/>
    <w:rsid w:val="003E7E1B"/>
    <w:rsid w:val="0041505B"/>
    <w:rsid w:val="004322F0"/>
    <w:rsid w:val="0044138E"/>
    <w:rsid w:val="004511F4"/>
    <w:rsid w:val="00466378"/>
    <w:rsid w:val="004828CA"/>
    <w:rsid w:val="0048547A"/>
    <w:rsid w:val="004F72A9"/>
    <w:rsid w:val="005417C2"/>
    <w:rsid w:val="005A3128"/>
    <w:rsid w:val="0060437A"/>
    <w:rsid w:val="00637646"/>
    <w:rsid w:val="00670E05"/>
    <w:rsid w:val="00761887"/>
    <w:rsid w:val="00771204"/>
    <w:rsid w:val="0078730F"/>
    <w:rsid w:val="007A497B"/>
    <w:rsid w:val="007C6252"/>
    <w:rsid w:val="008037F0"/>
    <w:rsid w:val="0082199D"/>
    <w:rsid w:val="008231DD"/>
    <w:rsid w:val="00831EF3"/>
    <w:rsid w:val="00835043"/>
    <w:rsid w:val="00846045"/>
    <w:rsid w:val="008547F1"/>
    <w:rsid w:val="00857A07"/>
    <w:rsid w:val="0088056B"/>
    <w:rsid w:val="00907766"/>
    <w:rsid w:val="009078A6"/>
    <w:rsid w:val="00924305"/>
    <w:rsid w:val="00937D71"/>
    <w:rsid w:val="009E4814"/>
    <w:rsid w:val="009F128D"/>
    <w:rsid w:val="00A04D5C"/>
    <w:rsid w:val="00A063E3"/>
    <w:rsid w:val="00A3253E"/>
    <w:rsid w:val="00A4786D"/>
    <w:rsid w:val="00A912C2"/>
    <w:rsid w:val="00A93075"/>
    <w:rsid w:val="00AA6AE3"/>
    <w:rsid w:val="00AC304A"/>
    <w:rsid w:val="00AF3235"/>
    <w:rsid w:val="00B11D31"/>
    <w:rsid w:val="00B12F44"/>
    <w:rsid w:val="00B23856"/>
    <w:rsid w:val="00B6197A"/>
    <w:rsid w:val="00B67B4F"/>
    <w:rsid w:val="00B777AC"/>
    <w:rsid w:val="00B84417"/>
    <w:rsid w:val="00B976C2"/>
    <w:rsid w:val="00BC7CE7"/>
    <w:rsid w:val="00BD25D3"/>
    <w:rsid w:val="00BD2979"/>
    <w:rsid w:val="00BF0FB0"/>
    <w:rsid w:val="00C20032"/>
    <w:rsid w:val="00C27E68"/>
    <w:rsid w:val="00CA21DE"/>
    <w:rsid w:val="00CA76E6"/>
    <w:rsid w:val="00CE06D4"/>
    <w:rsid w:val="00CE1A3D"/>
    <w:rsid w:val="00CE3005"/>
    <w:rsid w:val="00CE7C63"/>
    <w:rsid w:val="00D2032E"/>
    <w:rsid w:val="00D96D7C"/>
    <w:rsid w:val="00DA1AF8"/>
    <w:rsid w:val="00DF5584"/>
    <w:rsid w:val="00E06F3E"/>
    <w:rsid w:val="00E153FD"/>
    <w:rsid w:val="00E740B0"/>
    <w:rsid w:val="00E9449E"/>
    <w:rsid w:val="00EA201C"/>
    <w:rsid w:val="00EB04FD"/>
    <w:rsid w:val="00EC19F1"/>
    <w:rsid w:val="00F604DF"/>
    <w:rsid w:val="00F62D97"/>
    <w:rsid w:val="00F77C7E"/>
    <w:rsid w:val="00FB7679"/>
    <w:rsid w:val="00FC0953"/>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5C899"/>
  <w15:chartTrackingRefBased/>
  <w15:docId w15:val="{63369A96-EC37-4F83-B227-4895F03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FF"/>
      <w:sz w:val="24"/>
    </w:rPr>
  </w:style>
  <w:style w:type="paragraph" w:styleId="a4">
    <w:name w:val="Body Text Indent"/>
    <w:basedOn w:val="a"/>
    <w:pPr>
      <w:ind w:leftChars="114" w:left="239"/>
    </w:pPr>
    <w:rPr>
      <w:sz w:val="24"/>
    </w:rPr>
  </w:style>
  <w:style w:type="paragraph" w:styleId="2">
    <w:name w:val="Body Text Indent 2"/>
    <w:basedOn w:val="a"/>
    <w:pPr>
      <w:ind w:left="210" w:hangingChars="100" w:hanging="210"/>
    </w:pPr>
    <w:rPr>
      <w:color w:val="FF0000"/>
    </w:rPr>
  </w:style>
  <w:style w:type="paragraph" w:styleId="3">
    <w:name w:val="Body Text Indent 3"/>
    <w:basedOn w:val="a"/>
    <w:pPr>
      <w:ind w:left="240" w:hangingChars="100" w:hanging="240"/>
    </w:pPr>
    <w:rPr>
      <w:sz w:val="24"/>
    </w:rPr>
  </w:style>
  <w:style w:type="table" w:styleId="a5">
    <w:name w:val="Table Grid"/>
    <w:basedOn w:val="a1"/>
    <w:rsid w:val="00846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921BC"/>
    <w:rPr>
      <w:rFonts w:ascii="Arial" w:eastAsia="ＭＳ ゴシック" w:hAnsi="Arial"/>
      <w:sz w:val="18"/>
      <w:szCs w:val="18"/>
    </w:rPr>
  </w:style>
  <w:style w:type="character" w:customStyle="1" w:styleId="a7">
    <w:name w:val="吹き出し (文字)"/>
    <w:link w:val="a6"/>
    <w:rsid w:val="001921BC"/>
    <w:rPr>
      <w:rFonts w:ascii="Arial" w:eastAsia="ＭＳ ゴシック" w:hAnsi="Arial" w:cs="Times New Roman"/>
      <w:kern w:val="2"/>
      <w:sz w:val="18"/>
      <w:szCs w:val="18"/>
    </w:rPr>
  </w:style>
  <w:style w:type="paragraph" w:styleId="a8">
    <w:name w:val="header"/>
    <w:basedOn w:val="a"/>
    <w:link w:val="a9"/>
    <w:rsid w:val="00835043"/>
    <w:pPr>
      <w:tabs>
        <w:tab w:val="center" w:pos="4252"/>
        <w:tab w:val="right" w:pos="8504"/>
      </w:tabs>
      <w:snapToGrid w:val="0"/>
    </w:pPr>
  </w:style>
  <w:style w:type="character" w:customStyle="1" w:styleId="a9">
    <w:name w:val="ヘッダー (文字)"/>
    <w:basedOn w:val="a0"/>
    <w:link w:val="a8"/>
    <w:rsid w:val="00835043"/>
    <w:rPr>
      <w:kern w:val="2"/>
      <w:sz w:val="21"/>
      <w:szCs w:val="24"/>
    </w:rPr>
  </w:style>
  <w:style w:type="paragraph" w:styleId="aa">
    <w:name w:val="footer"/>
    <w:basedOn w:val="a"/>
    <w:link w:val="ab"/>
    <w:uiPriority w:val="99"/>
    <w:rsid w:val="00835043"/>
    <w:pPr>
      <w:tabs>
        <w:tab w:val="center" w:pos="4252"/>
        <w:tab w:val="right" w:pos="8504"/>
      </w:tabs>
      <w:snapToGrid w:val="0"/>
    </w:pPr>
  </w:style>
  <w:style w:type="character" w:customStyle="1" w:styleId="ab">
    <w:name w:val="フッター (文字)"/>
    <w:basedOn w:val="a0"/>
    <w:link w:val="aa"/>
    <w:uiPriority w:val="99"/>
    <w:rsid w:val="008350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11F5-018E-41E9-AC3B-2A2F3353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給油取扱所予防規程</vt:lpstr>
      <vt:lpstr>給油取扱所予防規程</vt:lpstr>
    </vt:vector>
  </TitlesOfParts>
  <Company>尼崎市</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給油取扱所予防規程</dc:title>
  <dc:subject/>
  <dc:creator>ama0007587</dc:creator>
  <cp:keywords/>
  <cp:lastModifiedBy>田中 春樹</cp:lastModifiedBy>
  <cp:revision>2</cp:revision>
  <cp:lastPrinted>2022-05-31T07:51:00Z</cp:lastPrinted>
  <dcterms:created xsi:type="dcterms:W3CDTF">2022-05-31T07:52:00Z</dcterms:created>
  <dcterms:modified xsi:type="dcterms:W3CDTF">2022-05-31T07:52:00Z</dcterms:modified>
</cp:coreProperties>
</file>