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1ED3" w14:textId="77777777" w:rsidR="00835043" w:rsidRPr="00C56F7A" w:rsidRDefault="00835043" w:rsidP="000B221A">
      <w:pPr>
        <w:rPr>
          <w:sz w:val="24"/>
        </w:rPr>
      </w:pPr>
    </w:p>
    <w:p w14:paraId="69C9210B" w14:textId="3A9186BB" w:rsidR="000B221A" w:rsidRDefault="000B221A" w:rsidP="000B221A">
      <w:pPr>
        <w:rPr>
          <w:sz w:val="24"/>
        </w:rPr>
      </w:pPr>
      <w:r w:rsidRPr="00C56F7A">
        <w:rPr>
          <w:rFonts w:hint="eastAsia"/>
          <w:sz w:val="24"/>
        </w:rPr>
        <w:t xml:space="preserve">　</w:t>
      </w:r>
    </w:p>
    <w:p w14:paraId="336E4CC8" w14:textId="2261102F" w:rsidR="00BD2979" w:rsidRPr="00BD2979" w:rsidRDefault="00BD2979" w:rsidP="00BD2979">
      <w:pPr>
        <w:rPr>
          <w:bCs/>
          <w:sz w:val="24"/>
        </w:rPr>
      </w:pPr>
      <w:r w:rsidRPr="00BD2979">
        <w:rPr>
          <w:noProof/>
          <w:sz w:val="24"/>
        </w:rPr>
        <mc:AlternateContent>
          <mc:Choice Requires="wps">
            <w:drawing>
              <wp:anchor distT="45720" distB="45720" distL="114300" distR="114300" simplePos="0" relativeHeight="251669504" behindDoc="0" locked="0" layoutInCell="1" allowOverlap="1" wp14:anchorId="159C5739" wp14:editId="3802328A">
                <wp:simplePos x="0" y="0"/>
                <wp:positionH relativeFrom="column">
                  <wp:posOffset>-41910</wp:posOffset>
                </wp:positionH>
                <wp:positionV relativeFrom="paragraph">
                  <wp:posOffset>-414655</wp:posOffset>
                </wp:positionV>
                <wp:extent cx="2724150" cy="1404620"/>
                <wp:effectExtent l="0" t="0" r="19050" b="215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solidFill>
                          <a:srgbClr val="FFFFFF"/>
                        </a:solidFill>
                        <a:ln w="9525">
                          <a:solidFill>
                            <a:srgbClr val="000000"/>
                          </a:solidFill>
                          <a:miter lim="800000"/>
                          <a:headEnd/>
                          <a:tailEnd/>
                        </a:ln>
                      </wps:spPr>
                      <wps:txbx>
                        <w:txbxContent>
                          <w:p w14:paraId="4A6FCAFB" w14:textId="68B67639" w:rsidR="00BD2979" w:rsidRPr="00B67B4F" w:rsidRDefault="00BD2979">
                            <w:pPr>
                              <w:rPr>
                                <w:sz w:val="22"/>
                                <w:szCs w:val="28"/>
                              </w:rPr>
                            </w:pPr>
                            <w:r w:rsidRPr="00B67B4F">
                              <w:rPr>
                                <w:rFonts w:hint="eastAsia"/>
                                <w:sz w:val="22"/>
                                <w:szCs w:val="28"/>
                              </w:rPr>
                              <w:t>可搬式制御機器の運用に係る安全対策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9C5739" id="_x0000_t202" coordsize="21600,21600" o:spt="202" path="m,l,21600r21600,l21600,xe">
                <v:stroke joinstyle="miter"/>
                <v:path gradientshapeok="t" o:connecttype="rect"/>
              </v:shapetype>
              <v:shape id="テキスト ボックス 2" o:spid="_x0000_s1026" type="#_x0000_t202" style="position:absolute;left:0;text-align:left;margin-left:-3.3pt;margin-top:-32.65pt;width:214.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">
                <v:textbox style="mso-fit-shape-to-text:t">
                  <w:txbxContent>
                    <w:p w14:paraId="4A6FCAFB" w14:textId="68B67639" w:rsidR="00BD2979" w:rsidRPr="00B67B4F" w:rsidRDefault="00BD2979">
                      <w:pPr>
                        <w:rPr>
                          <w:sz w:val="22"/>
                          <w:szCs w:val="28"/>
                        </w:rPr>
                      </w:pPr>
                      <w:r w:rsidRPr="00B67B4F">
                        <w:rPr>
                          <w:rFonts w:hint="eastAsia"/>
                          <w:sz w:val="22"/>
                          <w:szCs w:val="28"/>
                        </w:rPr>
                        <w:t>可搬式制御機器の運用に係る安全対策</w:t>
                      </w:r>
                    </w:p>
                  </w:txbxContent>
                </v:textbox>
              </v:shape>
            </w:pict>
          </mc:Fallback>
        </mc:AlternateContent>
      </w:r>
      <w:r w:rsidRPr="00BD2979">
        <w:rPr>
          <w:rFonts w:hint="eastAsia"/>
          <w:bCs/>
          <w:sz w:val="24"/>
        </w:rPr>
        <w:t>第○章　　可搬式制御機器の運用に係る安全対策</w:t>
      </w:r>
    </w:p>
    <w:p w14:paraId="29846E46" w14:textId="492B8CC6" w:rsidR="00BD2979" w:rsidRPr="00BD2979" w:rsidRDefault="00BD2979" w:rsidP="00BD2979">
      <w:pPr>
        <w:rPr>
          <w:bCs/>
          <w:sz w:val="24"/>
        </w:rPr>
      </w:pPr>
      <w:r w:rsidRPr="00BD2979">
        <w:rPr>
          <w:rFonts w:hint="eastAsia"/>
          <w:bCs/>
          <w:sz w:val="24"/>
        </w:rPr>
        <w:t>（運用に係る遵守事項）</w:t>
      </w:r>
    </w:p>
    <w:p w14:paraId="58873032" w14:textId="088B2ADD" w:rsidR="00BD2979" w:rsidRPr="00BD2979" w:rsidRDefault="00BD2979" w:rsidP="00BD2979">
      <w:pPr>
        <w:rPr>
          <w:sz w:val="24"/>
        </w:rPr>
      </w:pPr>
      <w:r w:rsidRPr="00BD2979">
        <w:rPr>
          <w:rFonts w:hint="eastAsia"/>
          <w:sz w:val="24"/>
        </w:rPr>
        <w:t>第○○条　可搬式制御機器の仕様については、次の規格等に適合するものとする。</w:t>
      </w:r>
    </w:p>
    <w:p w14:paraId="5550D3EA" w14:textId="77777777" w:rsidR="00BD2979" w:rsidRPr="00BD2979" w:rsidRDefault="00BD2979" w:rsidP="00BD2979">
      <w:pPr>
        <w:ind w:firstLineChars="105" w:firstLine="252"/>
        <w:rPr>
          <w:rFonts w:ascii="ＭＳ 明朝" w:hAnsi="ＭＳ 明朝"/>
          <w:sz w:val="24"/>
        </w:rPr>
      </w:pPr>
      <w:r w:rsidRPr="00BD2979">
        <w:rPr>
          <w:rFonts w:ascii="ＭＳ 明朝" w:hAnsi="ＭＳ 明朝"/>
          <w:sz w:val="24"/>
        </w:rPr>
        <w:t xml:space="preserve">(1) </w:t>
      </w:r>
      <w:r w:rsidRPr="00BD2979">
        <w:rPr>
          <w:rFonts w:ascii="ＭＳ 明朝" w:hAnsi="ＭＳ 明朝" w:hint="eastAsia"/>
          <w:sz w:val="24"/>
        </w:rPr>
        <w:t>防爆構造</w:t>
      </w:r>
    </w:p>
    <w:p w14:paraId="18DEAB7A" w14:textId="77777777" w:rsidR="00BD2979" w:rsidRPr="00BD2979" w:rsidRDefault="00BD2979" w:rsidP="00BD2979">
      <w:pPr>
        <w:ind w:firstLineChars="105" w:firstLine="252"/>
        <w:rPr>
          <w:rFonts w:ascii="ＭＳ 明朝" w:hAnsi="ＭＳ 明朝"/>
          <w:sz w:val="24"/>
        </w:rPr>
      </w:pPr>
      <w:r w:rsidRPr="00BD2979">
        <w:rPr>
          <w:rFonts w:ascii="ＭＳ 明朝" w:hAnsi="ＭＳ 明朝"/>
          <w:sz w:val="24"/>
        </w:rPr>
        <w:t xml:space="preserve">(2) </w:t>
      </w:r>
      <w:r w:rsidRPr="00BD2979">
        <w:rPr>
          <w:rFonts w:ascii="ＭＳ 明朝" w:hAnsi="ＭＳ 明朝" w:hint="eastAsia"/>
          <w:sz w:val="24"/>
        </w:rPr>
        <w:t>国際電気標準会規格(</w:t>
      </w:r>
      <w:r w:rsidRPr="00BD2979">
        <w:rPr>
          <w:rFonts w:ascii="ＭＳ 明朝" w:hAnsi="ＭＳ 明朝"/>
          <w:sz w:val="24"/>
        </w:rPr>
        <w:t>IEC)60950-1</w:t>
      </w:r>
    </w:p>
    <w:p w14:paraId="31651747" w14:textId="77777777" w:rsidR="00BD2979" w:rsidRPr="00BD2979" w:rsidRDefault="00BD2979" w:rsidP="00BD2979">
      <w:pPr>
        <w:ind w:firstLineChars="105" w:firstLine="252"/>
        <w:rPr>
          <w:rFonts w:ascii="ＭＳ 明朝" w:hAnsi="ＭＳ 明朝"/>
          <w:sz w:val="24"/>
        </w:rPr>
      </w:pPr>
      <w:r w:rsidRPr="00BD2979">
        <w:rPr>
          <w:rFonts w:ascii="ＭＳ 明朝" w:hAnsi="ＭＳ 明朝"/>
          <w:sz w:val="24"/>
        </w:rPr>
        <w:t xml:space="preserve">(3) </w:t>
      </w:r>
      <w:r w:rsidRPr="00BD2979">
        <w:rPr>
          <w:rFonts w:ascii="ＭＳ 明朝" w:hAnsi="ＭＳ 明朝" w:hint="eastAsia"/>
          <w:sz w:val="24"/>
        </w:rPr>
        <w:t>日本産業規格(</w:t>
      </w:r>
      <w:r w:rsidRPr="00BD2979">
        <w:rPr>
          <w:rFonts w:ascii="ＭＳ 明朝" w:hAnsi="ＭＳ 明朝"/>
          <w:sz w:val="24"/>
        </w:rPr>
        <w:t>JIS)C6950-1</w:t>
      </w:r>
    </w:p>
    <w:p w14:paraId="0E3ABBDD" w14:textId="77777777" w:rsidR="00BD2979" w:rsidRPr="00BD2979" w:rsidRDefault="00BD2979" w:rsidP="00BD2979">
      <w:pPr>
        <w:ind w:firstLineChars="105" w:firstLine="252"/>
        <w:rPr>
          <w:rFonts w:ascii="ＭＳ 明朝" w:hAnsi="ＭＳ 明朝"/>
          <w:sz w:val="24"/>
        </w:rPr>
      </w:pPr>
      <w:r w:rsidRPr="00BD2979">
        <w:rPr>
          <w:rFonts w:ascii="ＭＳ 明朝" w:hAnsi="ＭＳ 明朝"/>
          <w:sz w:val="24"/>
        </w:rPr>
        <w:t xml:space="preserve">(4) </w:t>
      </w:r>
      <w:r w:rsidRPr="00BD2979">
        <w:rPr>
          <w:rFonts w:ascii="ＭＳ 明朝" w:hAnsi="ＭＳ 明朝" w:hint="eastAsia"/>
          <w:sz w:val="24"/>
        </w:rPr>
        <w:t>国際電気標準会規格(</w:t>
      </w:r>
      <w:r w:rsidRPr="00BD2979">
        <w:rPr>
          <w:rFonts w:ascii="ＭＳ 明朝" w:hAnsi="ＭＳ 明朝"/>
          <w:sz w:val="24"/>
        </w:rPr>
        <w:t>IEC)62368-1</w:t>
      </w:r>
    </w:p>
    <w:p w14:paraId="7E45C22E" w14:textId="77777777" w:rsidR="00BD2979" w:rsidRPr="00BD2979" w:rsidRDefault="00BD2979" w:rsidP="00BD2979">
      <w:pPr>
        <w:ind w:firstLineChars="105" w:firstLine="252"/>
        <w:rPr>
          <w:rFonts w:ascii="ＭＳ 明朝" w:hAnsi="ＭＳ 明朝"/>
          <w:sz w:val="24"/>
        </w:rPr>
      </w:pPr>
      <w:r w:rsidRPr="00BD2979">
        <w:rPr>
          <w:rFonts w:ascii="ＭＳ 明朝" w:hAnsi="ＭＳ 明朝"/>
          <w:sz w:val="24"/>
        </w:rPr>
        <w:t xml:space="preserve">(5) </w:t>
      </w:r>
      <w:r w:rsidRPr="00BD2979">
        <w:rPr>
          <w:rFonts w:ascii="ＭＳ 明朝" w:hAnsi="ＭＳ 明朝" w:hint="eastAsia"/>
          <w:sz w:val="24"/>
        </w:rPr>
        <w:t>日本産業規格(</w:t>
      </w:r>
      <w:r w:rsidRPr="00BD2979">
        <w:rPr>
          <w:rFonts w:ascii="ＭＳ 明朝" w:hAnsi="ＭＳ 明朝"/>
          <w:sz w:val="24"/>
        </w:rPr>
        <w:t>JIS)C62368-1</w:t>
      </w:r>
    </w:p>
    <w:p w14:paraId="5537680E" w14:textId="77777777" w:rsidR="00BD2979" w:rsidRPr="00BD2979" w:rsidRDefault="00BD2979" w:rsidP="00BD2979">
      <w:pPr>
        <w:ind w:left="264" w:hangingChars="110" w:hanging="264"/>
        <w:rPr>
          <w:sz w:val="24"/>
        </w:rPr>
      </w:pPr>
      <w:r w:rsidRPr="00BD2979">
        <w:rPr>
          <w:rFonts w:hint="eastAsia"/>
          <w:sz w:val="24"/>
        </w:rPr>
        <w:t>２　可搬式制御機器を用いて給油許可等を行うことができる範囲は、許可申請時に添付している図面のとおりとする。</w:t>
      </w:r>
    </w:p>
    <w:p w14:paraId="499FB8FA" w14:textId="77777777" w:rsidR="00BD2979" w:rsidRPr="00BD2979" w:rsidRDefault="00BD2979" w:rsidP="00BD2979">
      <w:pPr>
        <w:ind w:left="252" w:hangingChars="105" w:hanging="252"/>
        <w:rPr>
          <w:sz w:val="24"/>
        </w:rPr>
      </w:pPr>
      <w:r w:rsidRPr="00BD2979">
        <w:rPr>
          <w:rFonts w:hint="eastAsia"/>
          <w:sz w:val="24"/>
        </w:rPr>
        <w:t>３　可搬式制御機器を用いて給油許可等を行う場合の顧客の給油作業等の監視は、固定給油設備や給油空地等の近傍から行うこと。</w:t>
      </w:r>
    </w:p>
    <w:p w14:paraId="0F882B23" w14:textId="77777777" w:rsidR="00BD2979" w:rsidRPr="00BD2979" w:rsidRDefault="00BD2979" w:rsidP="00BD2979">
      <w:pPr>
        <w:ind w:left="252" w:hangingChars="105" w:hanging="252"/>
        <w:rPr>
          <w:sz w:val="24"/>
        </w:rPr>
      </w:pPr>
      <w:r w:rsidRPr="00BD2979">
        <w:rPr>
          <w:rFonts w:hint="eastAsia"/>
          <w:sz w:val="24"/>
        </w:rPr>
        <w:t>４　可搬式制御機器を用いて給油許可等を行う従業員は、乙種四類又は甲種の危険物取扱者免状保有者とすること。</w:t>
      </w:r>
    </w:p>
    <w:p w14:paraId="75EB88CC" w14:textId="77777777" w:rsidR="00BD2979" w:rsidRPr="00BD2979" w:rsidRDefault="00BD2979" w:rsidP="00BD2979">
      <w:pPr>
        <w:ind w:left="252" w:hangingChars="105" w:hanging="252"/>
        <w:rPr>
          <w:sz w:val="24"/>
        </w:rPr>
      </w:pPr>
      <w:r w:rsidRPr="00BD2979">
        <w:rPr>
          <w:rFonts w:hint="eastAsia"/>
          <w:sz w:val="24"/>
        </w:rPr>
        <w:t>５　可搬式制御機器を使用する場合は、肩掛け紐付きカバーやアームバンド等の落下防止措置を講ずること。</w:t>
      </w:r>
    </w:p>
    <w:p w14:paraId="67EBE4F4" w14:textId="77777777" w:rsidR="00BD2979" w:rsidRPr="00BD2979" w:rsidRDefault="00BD2979" w:rsidP="00BD2979">
      <w:pPr>
        <w:ind w:left="252" w:hangingChars="105" w:hanging="252"/>
        <w:rPr>
          <w:sz w:val="24"/>
        </w:rPr>
      </w:pPr>
      <w:r w:rsidRPr="00BD2979">
        <w:rPr>
          <w:rFonts w:hint="eastAsia"/>
          <w:sz w:val="24"/>
        </w:rPr>
        <w:t>６　火災や危険物の流出事故が発生した場合は、一斉停止や緊急通報等の応急対応以外での可搬式制御機器の使用は中止し、安全が確保されるまでの間は使用しないこと。</w:t>
      </w:r>
    </w:p>
    <w:p w14:paraId="5FBB65BE" w14:textId="77777777" w:rsidR="00BD2979" w:rsidRPr="00BD2979" w:rsidRDefault="00BD2979" w:rsidP="00BD2979">
      <w:pPr>
        <w:ind w:left="252" w:hangingChars="105" w:hanging="252"/>
        <w:rPr>
          <w:sz w:val="24"/>
        </w:rPr>
      </w:pPr>
      <w:r w:rsidRPr="00BD2979">
        <w:rPr>
          <w:rFonts w:hint="eastAsia"/>
          <w:sz w:val="24"/>
        </w:rPr>
        <w:t>７　所長は、火災等の災害発生時における応急対応（給油停止や緊急通報）を含めた可搬式制御機器による給油許可を行う上で必要な教育及び訓練を実施しなければならない。</w:t>
      </w:r>
    </w:p>
    <w:p w14:paraId="333B0297" w14:textId="64271F13" w:rsidR="00BD2979" w:rsidRDefault="00BD2979" w:rsidP="00BD2979">
      <w:pPr>
        <w:rPr>
          <w:sz w:val="24"/>
        </w:rPr>
      </w:pPr>
    </w:p>
    <w:p w14:paraId="4BE0058D" w14:textId="6C41D068" w:rsidR="00BD2979" w:rsidRDefault="00BD2979" w:rsidP="00BD2979">
      <w:pPr>
        <w:rPr>
          <w:sz w:val="24"/>
        </w:rPr>
      </w:pPr>
    </w:p>
    <w:p w14:paraId="33E50BFC" w14:textId="75099318" w:rsidR="00BD2979" w:rsidRDefault="00BD2979" w:rsidP="00BD2979">
      <w:pPr>
        <w:rPr>
          <w:sz w:val="24"/>
        </w:rPr>
      </w:pPr>
    </w:p>
    <w:p w14:paraId="0B5CE3AD" w14:textId="05972351" w:rsidR="00BD2979" w:rsidRDefault="00BD2979" w:rsidP="00BD2979">
      <w:pPr>
        <w:rPr>
          <w:sz w:val="24"/>
        </w:rPr>
      </w:pPr>
    </w:p>
    <w:p w14:paraId="12328823" w14:textId="379D528C" w:rsidR="00BD2979" w:rsidRDefault="00BD2979" w:rsidP="00BD2979">
      <w:pPr>
        <w:rPr>
          <w:sz w:val="24"/>
        </w:rPr>
      </w:pPr>
    </w:p>
    <w:p w14:paraId="2974A8AA" w14:textId="7B77597F" w:rsidR="00BD2979" w:rsidRDefault="00BD2979" w:rsidP="00BD2979">
      <w:pPr>
        <w:rPr>
          <w:sz w:val="24"/>
        </w:rPr>
      </w:pPr>
    </w:p>
    <w:p w14:paraId="2CB151E0" w14:textId="299ED837" w:rsidR="00BD2979" w:rsidRDefault="00BD2979" w:rsidP="00BD2979">
      <w:pPr>
        <w:rPr>
          <w:sz w:val="24"/>
        </w:rPr>
      </w:pPr>
    </w:p>
    <w:p w14:paraId="4DD987A7" w14:textId="2D35EB0F" w:rsidR="00BD2979" w:rsidRDefault="00BD2979" w:rsidP="00BD2979">
      <w:pPr>
        <w:rPr>
          <w:sz w:val="24"/>
        </w:rPr>
      </w:pPr>
    </w:p>
    <w:p w14:paraId="08876CAE" w14:textId="4E60F499" w:rsidR="00BD2979" w:rsidRDefault="00BD2979" w:rsidP="00BD2979">
      <w:pPr>
        <w:rPr>
          <w:sz w:val="24"/>
        </w:rPr>
      </w:pPr>
    </w:p>
    <w:p w14:paraId="789483EB" w14:textId="7495D59D" w:rsidR="00BD2979" w:rsidRDefault="00BD2979" w:rsidP="00BD2979">
      <w:pPr>
        <w:rPr>
          <w:sz w:val="24"/>
        </w:rPr>
      </w:pPr>
    </w:p>
    <w:p w14:paraId="3330E2FE" w14:textId="758106F5" w:rsidR="00BD2979" w:rsidRDefault="00BD2979" w:rsidP="00BD2979">
      <w:pPr>
        <w:rPr>
          <w:sz w:val="24"/>
        </w:rPr>
      </w:pPr>
    </w:p>
    <w:p w14:paraId="71F4D94A" w14:textId="5940E87D" w:rsidR="00BD2979" w:rsidRDefault="00BD2979" w:rsidP="00BD2979">
      <w:pPr>
        <w:rPr>
          <w:sz w:val="24"/>
        </w:rPr>
      </w:pPr>
    </w:p>
    <w:p w14:paraId="2A23DFF3" w14:textId="3D532D44" w:rsidR="00BD2979" w:rsidRDefault="00BD2979" w:rsidP="00BD2979">
      <w:pPr>
        <w:rPr>
          <w:sz w:val="24"/>
        </w:rPr>
      </w:pPr>
    </w:p>
    <w:p w14:paraId="3AFC6830" w14:textId="0035D527" w:rsidR="00BD2979" w:rsidRDefault="00BD2979" w:rsidP="00BD2979">
      <w:pPr>
        <w:rPr>
          <w:sz w:val="24"/>
        </w:rPr>
      </w:pPr>
    </w:p>
    <w:p w14:paraId="2E42B772" w14:textId="50844C0E" w:rsidR="00BD2979" w:rsidRDefault="00BD2979" w:rsidP="00BD2979">
      <w:pPr>
        <w:rPr>
          <w:rFonts w:hint="eastAsia"/>
          <w:sz w:val="24"/>
        </w:rPr>
      </w:pPr>
    </w:p>
    <w:sectPr w:rsidR="00BD2979" w:rsidSect="00835043">
      <w:footerReference w:type="default" r:id="rId8"/>
      <w:pgSz w:w="11906" w:h="16838" w:code="9"/>
      <w:pgMar w:top="1418" w:right="1701" w:bottom="1134" w:left="1701" w:header="851" w:footer="992" w:gutter="0"/>
      <w:pgNumType w:fmt="numberInDash" w:start="28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193F" w14:textId="77777777" w:rsidR="00835043" w:rsidRDefault="00835043" w:rsidP="00835043">
      <w:r>
        <w:separator/>
      </w:r>
    </w:p>
  </w:endnote>
  <w:endnote w:type="continuationSeparator" w:id="0">
    <w:p w14:paraId="36D71E1B" w14:textId="77777777" w:rsidR="00835043" w:rsidRDefault="00835043" w:rsidP="0083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3E34" w14:textId="765F6026" w:rsidR="00835043" w:rsidRDefault="00835043">
    <w:pPr>
      <w:pStyle w:val="aa"/>
      <w:jc w:val="center"/>
    </w:pPr>
  </w:p>
  <w:p w14:paraId="14D1C535" w14:textId="77777777" w:rsidR="00835043" w:rsidRDefault="008350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A1B" w14:textId="77777777" w:rsidR="00835043" w:rsidRDefault="00835043" w:rsidP="00835043">
      <w:r>
        <w:separator/>
      </w:r>
    </w:p>
  </w:footnote>
  <w:footnote w:type="continuationSeparator" w:id="0">
    <w:p w14:paraId="4FEF5A10" w14:textId="77777777" w:rsidR="00835043" w:rsidRDefault="00835043" w:rsidP="0083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FBA"/>
    <w:multiLevelType w:val="hybridMultilevel"/>
    <w:tmpl w:val="24346552"/>
    <w:lvl w:ilvl="0" w:tplc="67F2202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226766"/>
    <w:multiLevelType w:val="hybridMultilevel"/>
    <w:tmpl w:val="816EB97A"/>
    <w:lvl w:ilvl="0" w:tplc="F7E25A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E37A91"/>
    <w:multiLevelType w:val="hybridMultilevel"/>
    <w:tmpl w:val="B25E3DA8"/>
    <w:lvl w:ilvl="0" w:tplc="F0FCB56E">
      <w:start w:val="2"/>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7126E"/>
    <w:multiLevelType w:val="hybridMultilevel"/>
    <w:tmpl w:val="6344C19E"/>
    <w:lvl w:ilvl="0" w:tplc="CE44A02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159152C"/>
    <w:multiLevelType w:val="hybridMultilevel"/>
    <w:tmpl w:val="4FC6E4C8"/>
    <w:lvl w:ilvl="0" w:tplc="6218A884">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A94F9B"/>
    <w:multiLevelType w:val="hybridMultilevel"/>
    <w:tmpl w:val="2B2695B6"/>
    <w:lvl w:ilvl="0" w:tplc="4A5AF5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8834A2"/>
    <w:multiLevelType w:val="hybridMultilevel"/>
    <w:tmpl w:val="7EDAD9EE"/>
    <w:lvl w:ilvl="0" w:tplc="80E8E6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A97578"/>
    <w:multiLevelType w:val="hybridMultilevel"/>
    <w:tmpl w:val="2B969FF8"/>
    <w:lvl w:ilvl="0" w:tplc="3E105BD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64EF4"/>
    <w:multiLevelType w:val="hybridMultilevel"/>
    <w:tmpl w:val="A0A42E86"/>
    <w:lvl w:ilvl="0" w:tplc="C0B220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DE279F"/>
    <w:multiLevelType w:val="hybridMultilevel"/>
    <w:tmpl w:val="82F0B312"/>
    <w:lvl w:ilvl="0" w:tplc="22102554">
      <w:start w:val="1"/>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D753A15"/>
    <w:multiLevelType w:val="hybridMultilevel"/>
    <w:tmpl w:val="6346D552"/>
    <w:lvl w:ilvl="0" w:tplc="3FCE286E">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5C34EDC"/>
    <w:multiLevelType w:val="hybridMultilevel"/>
    <w:tmpl w:val="A26EC154"/>
    <w:lvl w:ilvl="0" w:tplc="E5F2363A">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11B1C"/>
    <w:multiLevelType w:val="hybridMultilevel"/>
    <w:tmpl w:val="BA7EF19A"/>
    <w:lvl w:ilvl="0" w:tplc="46B64C1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B1F08E1"/>
    <w:multiLevelType w:val="hybridMultilevel"/>
    <w:tmpl w:val="564CF958"/>
    <w:lvl w:ilvl="0" w:tplc="4C8E6A0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336FEF"/>
    <w:multiLevelType w:val="hybridMultilevel"/>
    <w:tmpl w:val="E716FA34"/>
    <w:lvl w:ilvl="0" w:tplc="1B6669B0">
      <w:start w:val="1"/>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92462BF"/>
    <w:multiLevelType w:val="hybridMultilevel"/>
    <w:tmpl w:val="FD76317C"/>
    <w:lvl w:ilvl="0" w:tplc="3F96C16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B536D1B"/>
    <w:multiLevelType w:val="hybridMultilevel"/>
    <w:tmpl w:val="39504446"/>
    <w:lvl w:ilvl="0" w:tplc="EA901788">
      <w:start w:val="5"/>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49471817">
    <w:abstractNumId w:val="14"/>
  </w:num>
  <w:num w:numId="2" w16cid:durableId="2051416046">
    <w:abstractNumId w:val="2"/>
  </w:num>
  <w:num w:numId="3" w16cid:durableId="722094255">
    <w:abstractNumId w:val="13"/>
  </w:num>
  <w:num w:numId="4" w16cid:durableId="500242780">
    <w:abstractNumId w:val="6"/>
  </w:num>
  <w:num w:numId="5" w16cid:durableId="526724963">
    <w:abstractNumId w:val="3"/>
  </w:num>
  <w:num w:numId="6" w16cid:durableId="744184137">
    <w:abstractNumId w:val="7"/>
  </w:num>
  <w:num w:numId="7" w16cid:durableId="184828726">
    <w:abstractNumId w:val="16"/>
  </w:num>
  <w:num w:numId="8" w16cid:durableId="960841843">
    <w:abstractNumId w:val="1"/>
  </w:num>
  <w:num w:numId="9" w16cid:durableId="549416779">
    <w:abstractNumId w:val="10"/>
  </w:num>
  <w:num w:numId="10" w16cid:durableId="1599753439">
    <w:abstractNumId w:val="4"/>
  </w:num>
  <w:num w:numId="11" w16cid:durableId="1211377620">
    <w:abstractNumId w:val="9"/>
  </w:num>
  <w:num w:numId="12" w16cid:durableId="961035083">
    <w:abstractNumId w:val="15"/>
  </w:num>
  <w:num w:numId="13" w16cid:durableId="1838836936">
    <w:abstractNumId w:val="12"/>
  </w:num>
  <w:num w:numId="14" w16cid:durableId="298388279">
    <w:abstractNumId w:val="0"/>
  </w:num>
  <w:num w:numId="15" w16cid:durableId="1830974428">
    <w:abstractNumId w:val="8"/>
  </w:num>
  <w:num w:numId="16" w16cid:durableId="414783047">
    <w:abstractNumId w:val="5"/>
  </w:num>
  <w:num w:numId="17" w16cid:durableId="167942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C5"/>
    <w:rsid w:val="0002267E"/>
    <w:rsid w:val="000A5C06"/>
    <w:rsid w:val="000B221A"/>
    <w:rsid w:val="00106451"/>
    <w:rsid w:val="001075FF"/>
    <w:rsid w:val="0011381B"/>
    <w:rsid w:val="001425AF"/>
    <w:rsid w:val="00160C80"/>
    <w:rsid w:val="00162CE0"/>
    <w:rsid w:val="00177BE3"/>
    <w:rsid w:val="001845B5"/>
    <w:rsid w:val="001921BC"/>
    <w:rsid w:val="001D34F9"/>
    <w:rsid w:val="001E5697"/>
    <w:rsid w:val="002148C5"/>
    <w:rsid w:val="00215A39"/>
    <w:rsid w:val="00224B9F"/>
    <w:rsid w:val="00236D60"/>
    <w:rsid w:val="00265697"/>
    <w:rsid w:val="002917BD"/>
    <w:rsid w:val="002C00F3"/>
    <w:rsid w:val="003662E3"/>
    <w:rsid w:val="00380B46"/>
    <w:rsid w:val="003E7E1B"/>
    <w:rsid w:val="0041505B"/>
    <w:rsid w:val="004322F0"/>
    <w:rsid w:val="0044138E"/>
    <w:rsid w:val="004511F4"/>
    <w:rsid w:val="00466378"/>
    <w:rsid w:val="004828CA"/>
    <w:rsid w:val="0048547A"/>
    <w:rsid w:val="004F72A9"/>
    <w:rsid w:val="005417C2"/>
    <w:rsid w:val="005A3128"/>
    <w:rsid w:val="0060437A"/>
    <w:rsid w:val="00637646"/>
    <w:rsid w:val="00670E05"/>
    <w:rsid w:val="00761887"/>
    <w:rsid w:val="00771204"/>
    <w:rsid w:val="0078730F"/>
    <w:rsid w:val="007A497B"/>
    <w:rsid w:val="007C6252"/>
    <w:rsid w:val="008037F0"/>
    <w:rsid w:val="0082199D"/>
    <w:rsid w:val="008231DD"/>
    <w:rsid w:val="00831EF3"/>
    <w:rsid w:val="00835043"/>
    <w:rsid w:val="00846045"/>
    <w:rsid w:val="008547F1"/>
    <w:rsid w:val="0088056B"/>
    <w:rsid w:val="00907766"/>
    <w:rsid w:val="009078A6"/>
    <w:rsid w:val="00924305"/>
    <w:rsid w:val="00937D71"/>
    <w:rsid w:val="009E4814"/>
    <w:rsid w:val="009F128D"/>
    <w:rsid w:val="00A04D5C"/>
    <w:rsid w:val="00A063E3"/>
    <w:rsid w:val="00A3253E"/>
    <w:rsid w:val="00A4786D"/>
    <w:rsid w:val="00A912C2"/>
    <w:rsid w:val="00A93075"/>
    <w:rsid w:val="00AA6AE3"/>
    <w:rsid w:val="00AC304A"/>
    <w:rsid w:val="00AF3235"/>
    <w:rsid w:val="00B11D31"/>
    <w:rsid w:val="00B12F44"/>
    <w:rsid w:val="00B23856"/>
    <w:rsid w:val="00B6197A"/>
    <w:rsid w:val="00B67B4F"/>
    <w:rsid w:val="00B777AC"/>
    <w:rsid w:val="00B84417"/>
    <w:rsid w:val="00B976C2"/>
    <w:rsid w:val="00BC7CE7"/>
    <w:rsid w:val="00BD25D3"/>
    <w:rsid w:val="00BD2979"/>
    <w:rsid w:val="00BF0FB0"/>
    <w:rsid w:val="00C20032"/>
    <w:rsid w:val="00C27E68"/>
    <w:rsid w:val="00CA21DE"/>
    <w:rsid w:val="00CA76E6"/>
    <w:rsid w:val="00CE06D4"/>
    <w:rsid w:val="00CE1A3D"/>
    <w:rsid w:val="00CE3005"/>
    <w:rsid w:val="00CE7C63"/>
    <w:rsid w:val="00D2032E"/>
    <w:rsid w:val="00D96D7C"/>
    <w:rsid w:val="00DA1AF8"/>
    <w:rsid w:val="00DF5584"/>
    <w:rsid w:val="00E06F3E"/>
    <w:rsid w:val="00E153FD"/>
    <w:rsid w:val="00E740B0"/>
    <w:rsid w:val="00E9449E"/>
    <w:rsid w:val="00EA201C"/>
    <w:rsid w:val="00EB04FD"/>
    <w:rsid w:val="00EC19F1"/>
    <w:rsid w:val="00F604DF"/>
    <w:rsid w:val="00F62D97"/>
    <w:rsid w:val="00F77C7E"/>
    <w:rsid w:val="00FB7679"/>
    <w:rsid w:val="00FC0953"/>
    <w:rsid w:val="00FD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05C899"/>
  <w15:chartTrackingRefBased/>
  <w15:docId w15:val="{63369A96-EC37-4F83-B227-4895F03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FF"/>
      <w:sz w:val="24"/>
    </w:rPr>
  </w:style>
  <w:style w:type="paragraph" w:styleId="a4">
    <w:name w:val="Body Text Indent"/>
    <w:basedOn w:val="a"/>
    <w:pPr>
      <w:ind w:leftChars="114" w:left="239"/>
    </w:pPr>
    <w:rPr>
      <w:sz w:val="24"/>
    </w:rPr>
  </w:style>
  <w:style w:type="paragraph" w:styleId="2">
    <w:name w:val="Body Text Indent 2"/>
    <w:basedOn w:val="a"/>
    <w:pPr>
      <w:ind w:left="210" w:hangingChars="100" w:hanging="210"/>
    </w:pPr>
    <w:rPr>
      <w:color w:val="FF0000"/>
    </w:rPr>
  </w:style>
  <w:style w:type="paragraph" w:styleId="3">
    <w:name w:val="Body Text Indent 3"/>
    <w:basedOn w:val="a"/>
    <w:pPr>
      <w:ind w:left="240" w:hangingChars="100" w:hanging="240"/>
    </w:pPr>
    <w:rPr>
      <w:sz w:val="24"/>
    </w:rPr>
  </w:style>
  <w:style w:type="table" w:styleId="a5">
    <w:name w:val="Table Grid"/>
    <w:basedOn w:val="a1"/>
    <w:rsid w:val="00846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921BC"/>
    <w:rPr>
      <w:rFonts w:ascii="Arial" w:eastAsia="ＭＳ ゴシック" w:hAnsi="Arial"/>
      <w:sz w:val="18"/>
      <w:szCs w:val="18"/>
    </w:rPr>
  </w:style>
  <w:style w:type="character" w:customStyle="1" w:styleId="a7">
    <w:name w:val="吹き出し (文字)"/>
    <w:link w:val="a6"/>
    <w:rsid w:val="001921BC"/>
    <w:rPr>
      <w:rFonts w:ascii="Arial" w:eastAsia="ＭＳ ゴシック" w:hAnsi="Arial" w:cs="Times New Roman"/>
      <w:kern w:val="2"/>
      <w:sz w:val="18"/>
      <w:szCs w:val="18"/>
    </w:rPr>
  </w:style>
  <w:style w:type="paragraph" w:styleId="a8">
    <w:name w:val="header"/>
    <w:basedOn w:val="a"/>
    <w:link w:val="a9"/>
    <w:rsid w:val="00835043"/>
    <w:pPr>
      <w:tabs>
        <w:tab w:val="center" w:pos="4252"/>
        <w:tab w:val="right" w:pos="8504"/>
      </w:tabs>
      <w:snapToGrid w:val="0"/>
    </w:pPr>
  </w:style>
  <w:style w:type="character" w:customStyle="1" w:styleId="a9">
    <w:name w:val="ヘッダー (文字)"/>
    <w:basedOn w:val="a0"/>
    <w:link w:val="a8"/>
    <w:rsid w:val="00835043"/>
    <w:rPr>
      <w:kern w:val="2"/>
      <w:sz w:val="21"/>
      <w:szCs w:val="24"/>
    </w:rPr>
  </w:style>
  <w:style w:type="paragraph" w:styleId="aa">
    <w:name w:val="footer"/>
    <w:basedOn w:val="a"/>
    <w:link w:val="ab"/>
    <w:uiPriority w:val="99"/>
    <w:rsid w:val="00835043"/>
    <w:pPr>
      <w:tabs>
        <w:tab w:val="center" w:pos="4252"/>
        <w:tab w:val="right" w:pos="8504"/>
      </w:tabs>
      <w:snapToGrid w:val="0"/>
    </w:pPr>
  </w:style>
  <w:style w:type="character" w:customStyle="1" w:styleId="ab">
    <w:name w:val="フッター (文字)"/>
    <w:basedOn w:val="a0"/>
    <w:link w:val="aa"/>
    <w:uiPriority w:val="99"/>
    <w:rsid w:val="00835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11F5-018E-41E9-AC3B-2A2F3353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給油取扱所予防規程</vt:lpstr>
      <vt:lpstr>給油取扱所予防規程</vt:lpstr>
    </vt:vector>
  </TitlesOfParts>
  <Company>尼崎市</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給油取扱所予防規程</dc:title>
  <dc:subject/>
  <dc:creator>ama0007587</dc:creator>
  <cp:keywords/>
  <cp:lastModifiedBy>田中 春樹</cp:lastModifiedBy>
  <cp:revision>2</cp:revision>
  <cp:lastPrinted>2022-05-31T07:50:00Z</cp:lastPrinted>
  <dcterms:created xsi:type="dcterms:W3CDTF">2022-05-31T07:51:00Z</dcterms:created>
  <dcterms:modified xsi:type="dcterms:W3CDTF">2022-05-31T07:51:00Z</dcterms:modified>
</cp:coreProperties>
</file>